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0"/>
        <w:jc w:val="center"/>
      </w:pPr>
      <w:r>
        <w:rPr>
          <w:rFonts w:ascii="Calibri" w:cs="Calibri" w:eastAsia="Calibri" w:hAnsi="Calibri"/>
          <w:b/>
          <w:bCs/>
          <w:color w:val="1A1A1A"/>
          <w:spacing w:val="40"/>
          <w:sz w:val="24"/>
          <w:szCs w:val="24"/>
        </w:rPr>
        <w:t xml:space="preserve">DETENCIONDEFENSA.COM, INC.</w:t>
      </w:r>
    </w:p>
    <w:p>
      <w:pPr>
        <w:spacing w:after="40"/>
        <w:jc w:val="center"/>
      </w:pPr>
      <w:r>
        <w:rPr>
          <w:rFonts w:ascii="Calibri" w:cs="Calibri" w:eastAsia="Calibri" w:hAnsi="Calibri"/>
          <w:i/>
          <w:iCs/>
          <w:color w:val="6B6457"/>
          <w:sz w:val="18"/>
          <w:szCs w:val="18"/>
        </w:rPr>
        <w:t xml:space="preserve">A Delaware Corporation</w:t>
      </w:r>
    </w:p>
    <w:p>
      <w:pPr>
        <w:spacing w:after="600"/>
        <w:jc w:val="center"/>
      </w:pPr>
      <w:r>
        <w:rPr>
          <w:rFonts w:ascii="Calibri" w:cs="Calibri" w:eastAsia="Calibri" w:hAnsi="Calibri"/>
          <w:i/>
          <w:iCs/>
          <w:color w:val="0B6E4F"/>
          <w:sz w:val="18"/>
          <w:szCs w:val="18"/>
        </w:rPr>
        <w:t xml:space="preserve">SAFE Round · 2026</w:t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6B6457"/>
          <w:spacing w:val="30"/>
          <w:sz w:val="14"/>
          <w:szCs w:val="14"/>
        </w:rPr>
        <w:t xml:space="preserve">Document 12 of 12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A1A1A"/>
          <w:sz w:val="40"/>
          <w:szCs w:val="40"/>
        </w:rPr>
        <w:t xml:space="preserve">Wire Instructions &amp; Closing Checklist</w:t>
      </w:r>
    </w:p>
    <w:p>
      <w:pPr>
        <w:spacing w:after="500"/>
        <w:jc w:val="center"/>
      </w:pPr>
      <w:r>
        <w:rPr>
          <w:rFonts w:ascii="Calibri" w:cs="Calibri" w:eastAsia="Calibri" w:hAnsi="Calibri"/>
          <w:i/>
          <w:iCs/>
          <w:color w:val="0B6E4F"/>
          <w:sz w:val="20"/>
          <w:szCs w:val="20"/>
        </w:rPr>
        <w:t xml:space="preserve">Operational steps from signature to funding</w:t>
      </w:r>
    </w:p>
    <w:p>
      <w:pPr>
        <w:spacing w:after="300"/>
      </w:pPr>
      <w:r>
        <w:t xml:space="preserve"/>
      </w:r>
    </w:p>
    <w:p>
      <w:pPr>
        <w:pBdr>
          <w:top w:val="single" w:color="0B6E4F" w:sz="6"/>
          <w:left w:val="single" w:color="0B6E4F" w:sz="6"/>
          <w:bottom w:val="single" w:color="0B6E4F" w:sz="6"/>
          <w:right w:val="single" w:color="0B6E4F" w:sz="6"/>
        </w:pBdr>
        <w:shd w:fill="F2F8F4" w:val="clear"/>
        <w:spacing w:after="120" w:before="120"/>
        <w:ind w:left="400" w:right="400"/>
      </w:pPr>
      <w:r>
        <w:rPr>
          <w:rFonts w:ascii="Calibri" w:cs="Calibri" w:eastAsia="Calibri" w:hAnsi="Calibri"/>
          <w:i/>
          <w:iCs/>
          <w:color w:val="0B5A40"/>
          <w:sz w:val="17"/>
          <w:szCs w:val="17"/>
        </w:rPr>
        <w:t xml:space="preserve">CONFIDENTIAL · DRAFT FOR COUNSEL REVIEW.  Template prepared as a starting point for review with qualified securities counsel before any use. Bracketed [ ] fields require completion. Not legal advice.</w:t>
      </w:r>
    </w:p>
    <w:p>
      <w:pPr>
        <w:spacing w:after="400"/>
      </w:pPr>
      <w:r>
        <w:t xml:space="preserve"/>
      </w:r>
    </w:p>
    <w:p>
      <w:pPr>
        <w:jc w:val="center"/>
      </w:pPr>
      <w:r>
        <w:rPr>
          <w:rFonts w:ascii="Calibri" w:cs="Calibri" w:eastAsia="Calibri" w:hAnsi="Calibri"/>
          <w:color w:val="6B6457"/>
          <w:sz w:val="16"/>
          <w:szCs w:val="16"/>
        </w:rPr>
        <w:t xml:space="preserve">390 NE 191st Street, Suite 58999, Miami, FL 33179  ·  info@detenciondefensa.com  ·  http://detenciondefensa.com</w:t>
      </w:r>
    </w:p>
    <w:p>
      <w:r>
        <w:br w:type="page"/>
      </w:r>
    </w:p>
    <w:p>
      <w:pPr>
        <w:pStyle w:val="Heading1"/>
        <w:spacing w:after="150" w:before="340"/>
      </w:pPr>
      <w:r>
        <w:rPr>
          <w:rFonts w:ascii="Calibri" w:cs="Calibri" w:eastAsia="Calibri" w:hAnsi="Calibri"/>
          <w:b/>
          <w:bCs/>
          <w:color w:val="1A1A1A"/>
          <w:sz w:val="30"/>
          <w:szCs w:val="30"/>
        </w:rPr>
        <w:t xml:space="preserve">Wire Instructions &amp; Closing Checklist</w:t>
      </w:r>
    </w:p>
    <w:p>
      <w:pPr>
        <w:pBdr>
          <w:top w:val="single" w:color="0B6E4F" w:sz="4"/>
          <w:left w:val="single" w:color="0B6E4F" w:sz="4"/>
          <w:bottom w:val="single" w:color="0B6E4F" w:sz="4"/>
          <w:right w:val="single" w:color="0B6E4F" w:sz="4"/>
        </w:pBdr>
        <w:shd w:fill="F2F8F4" w:val="clear"/>
        <w:spacing w:after="170" w:before="80"/>
      </w:pPr>
      <w:r>
        <w:rPr>
          <w:rFonts w:ascii="Calibri" w:cs="Calibri" w:eastAsia="Calibri" w:hAnsi="Calibri"/>
          <w:i/>
          <w:iCs/>
          <w:color w:val="0B5A40"/>
          <w:sz w:val="17"/>
          <w:szCs w:val="17"/>
        </w:rPr>
        <w:t xml:space="preserve">DRAFT FOR SECURITIES-COUNSEL REVIEW — NOT FOR EXECUTION. A starting template for review with qualified counsel before any use. Bracketed [ ] fields require completion. Not legal advice.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Closing sequence (per investor)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Investor reviews the SAFE Round Investor Memo and this package.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Investor completes and signs the Subscription Agreement (Doc 9) and Accredited Investor Questionnaire (Doc 10).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Company reviews accredited status and accepts or declines the subscription in writing.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Upon acceptance, Company countersigns the SAFE (Doc 11).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Investor wires the Purchase Amount using the instructions below.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Company confirms receipt; funds held in segregated account until closing.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After final close, Company files Form D with the SEC within 15 days and any required state notices.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Wire instructions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0B5A40"/>
          <w:sz w:val="19"/>
          <w:szCs w:val="19"/>
        </w:rPr>
        <w:t xml:space="preserve">[To be completed by the Company. Provide bank name, account name (segregated/escrow), account number, routing/ABA number, SWIFT (if applicable), and a reference line instructing the investor to include their name. Do not transmit account details except through a secured channel; confirm by a separate verified contact to prevent wire fraud.]</w:t>
      </w:r>
    </w:p>
    <w:p>
      <w:pPr>
        <w:spacing w:after="60"/>
      </w:pPr>
      <w:r>
        <w:t xml:space="preserve"/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Bank name: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Account name: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Account number: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ABA / routing number: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SWIFT (if applicable):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Reference:  </w:t>
      </w:r>
      <w:r>
        <w:rPr>
          <w:rFonts w:ascii="Calibri" w:cs="Calibri" w:eastAsia="Calibri" w:hAnsi="Calibri"/>
          <w:color w:val="999999"/>
          <w:sz w:val="21"/>
          <w:szCs w:val="21"/>
        </w:rPr>
        <w:t xml:space="preserve">____________________________________________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0B6E4F"/>
          <w:sz w:val="21"/>
          <w:szCs w:val="21"/>
        </w:rPr>
        <w:t xml:space="preserve">Anti-fraud note</w:t>
      </w:r>
    </w:p>
    <w:p>
      <w:pPr>
        <w:spacing w:after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Investors should independently verify wire details by calling a known Company contact before sending funds. The Company will never change wire instructions by email without separate verbal confirmation.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CFB9" w:sz="4" w:space="6"/>
      </w:pBdr>
      <w:tabs>
        <w:tab w:val="right" w:pos="9026"/>
      </w:tabs>
    </w:pPr>
    <w:r>
      <w:rPr>
        <w:rFonts w:ascii="Calibri" w:cs="Calibri" w:eastAsia="Calibri" w:hAnsi="Calibri"/>
        <w:i/>
        <w:iCs/>
        <w:color w:val="B3261E"/>
        <w:sz w:val="14"/>
        <w:szCs w:val="14"/>
      </w:rPr>
      <w:t xml:space="preserve">Privileged &amp; Confidential · Draft for counsel review</w:t>
    </w:r>
    <w:r>
      <w:rPr>
        <w:rFonts w:ascii="Calibri" w:cs="Calibri" w:eastAsia="Calibri" w:hAnsi="Calibri"/>
        <w:color w:val="6B6457"/>
        <w:sz w:val="14"/>
        <w:szCs w:val="14"/>
      </w:rPr>
      <w:t xml:space="preserve">	Page </w:t>
    </w:r>
    <w:r>
      <w:rPr>
        <w:rFonts w:ascii="Calibri" w:cs="Calibri" w:eastAsia="Calibri" w:hAnsi="Calibri"/>
        <w:color w:val="6B6457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6457"/>
        <w:sz w:val="14"/>
        <w:szCs w:val="14"/>
      </w:rPr>
      <w:t xml:space="preserve"> of </w:t>
    </w:r>
    <w:r>
      <w:rPr>
        <w:rFonts w:ascii="Calibri" w:cs="Calibri" w:eastAsia="Calibri" w:hAnsi="Calibri"/>
        <w:color w:val="6B6457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Calibri" w:cs="Calibri" w:eastAsia="Calibri" w:hAnsi="Calibri"/>
        <w:color w:val="6B6457"/>
        <w:sz w:val="14"/>
        <w:szCs w:val="14"/>
      </w:rPr>
      <w:t xml:space="preserve">DetencionDefensa.com, Inc. · Wire Instructions &amp; Closing Checklist</w:t>
    </w:r>
    <w:r>
      <w:rPr>
        <w:rFonts w:ascii="Calibri" w:cs="Calibri" w:eastAsia="Calibri" w:hAnsi="Calibri"/>
        <w:color w:val="6B6457"/>
        <w:sz w:val="14"/>
        <w:szCs w:val="14"/>
      </w:rPr>
      <w:t xml:space="preserve">	Document 12 of 12 · SAFE Round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2026-06-22T12:40:58.165Z</dcterms:created>
  <dcterms:modified xsi:type="dcterms:W3CDTF">2026-06-22T12:40:58.165Z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