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1 of 12</w:t>
      </w:r>
    </w:p>
    <w:p>
      <w:pPr>
        <w:spacing w:after="80"/>
        <w:jc w:val="center"/>
      </w:pPr>
      <w:r>
        <w:rPr>
          <w:rFonts w:ascii="Calibri" w:cs="Calibri" w:eastAsia="Calibri" w:hAnsi="Calibri"/>
          <w:b/>
          <w:bCs/>
          <w:color w:val="1A1A1A"/>
          <w:sz w:val="40"/>
          <w:szCs w:val="40"/>
        </w:rPr>
        <w:t xml:space="preserve">Cover Memo from Inside Counsel</w:t>
      </w:r>
    </w:p>
    <w:p>
      <w:pPr>
        <w:spacing w:after="500"/>
        <w:jc w:val="center"/>
      </w:pPr>
      <w:r>
        <w:rPr>
          <w:rFonts w:ascii="Calibri" w:cs="Calibri" w:eastAsia="Calibri" w:hAnsi="Calibri"/>
          <w:i/>
          <w:iCs/>
          <w:color w:val="0B6E4F"/>
          <w:sz w:val="20"/>
          <w:szCs w:val="20"/>
        </w:rPr>
        <w:t xml:space="preserve">For attorneys, CPAs, and certified financial planners considering an organizing engagement</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Cover Memo to Prospective Organizing Professionals</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pPr>
      <w:r>
        <w:rPr>
          <w:rFonts w:ascii="Calibri" w:cs="Calibri" w:eastAsia="Calibri" w:hAnsi="Calibri"/>
          <w:b/>
          <w:bCs/>
          <w:i w:val="false"/>
          <w:iCs w:val="false"/>
          <w:color w:val="222222"/>
          <w:sz w:val="21"/>
          <w:szCs w:val="21"/>
        </w:rPr>
        <w:t xml:space="preserve">From:  </w:t>
      </w:r>
      <w:r>
        <w:rPr>
          <w:rFonts w:ascii="Calibri" w:cs="Calibri" w:eastAsia="Calibri" w:hAnsi="Calibri"/>
          <w:b w:val="false"/>
          <w:bCs w:val="false"/>
          <w:i w:val="false"/>
          <w:iCs w:val="false"/>
          <w:color w:val="222222"/>
          <w:sz w:val="21"/>
          <w:szCs w:val="21"/>
        </w:rPr>
        <w:t xml:space="preserve">Rosario Kyle Sorrentino, Esq., Inside Counsel, DetencionDefensa.com, Inc.</w:t>
      </w:r>
    </w:p>
    <w:p>
      <w:pPr>
        <w:spacing w:after="120"/>
      </w:pPr>
      <w:r>
        <w:rPr>
          <w:rFonts w:ascii="Calibri" w:cs="Calibri" w:eastAsia="Calibri" w:hAnsi="Calibri"/>
          <w:b/>
          <w:bCs/>
          <w:i w:val="false"/>
          <w:iCs w:val="false"/>
          <w:color w:val="222222"/>
          <w:sz w:val="21"/>
          <w:szCs w:val="21"/>
        </w:rPr>
        <w:t xml:space="preserve">Re:  </w:t>
      </w:r>
      <w:r>
        <w:rPr>
          <w:rFonts w:ascii="Calibri" w:cs="Calibri" w:eastAsia="Calibri" w:hAnsi="Calibri"/>
          <w:b w:val="false"/>
          <w:bCs w:val="false"/>
          <w:i w:val="false"/>
          <w:iCs w:val="false"/>
          <w:color w:val="222222"/>
          <w:sz w:val="21"/>
          <w:szCs w:val="21"/>
        </w:rPr>
        <w:t xml:space="preserve">An equity-and-fee opportunity for attorneys, CPAs, and certified financial planners who organize investment partnerships</w:t>
      </w:r>
    </w:p>
    <w:p>
      <w:pPr>
        <w:spacing w:after="120"/>
      </w:pPr>
      <w:r>
        <w:rPr>
          <w:rFonts w:ascii="Calibri" w:cs="Calibri" w:eastAsia="Calibri" w:hAnsi="Calibri"/>
          <w:b/>
          <w:bCs/>
          <w:i w:val="false"/>
          <w:iCs w:val="false"/>
          <w:color w:val="222222"/>
          <w:sz w:val="21"/>
          <w:szCs w:val="21"/>
        </w:rPr>
        <w:t xml:space="preserve">Date:  </w:t>
      </w:r>
      <w:r>
        <w:rPr>
          <w:rFonts w:ascii="Calibri" w:cs="Calibri" w:eastAsia="Calibri" w:hAnsi="Calibri"/>
          <w:b w:val="false"/>
          <w:bCs w:val="false"/>
          <w:i w:val="false"/>
          <w:iCs w:val="false"/>
          <w:color w:val="222222"/>
          <w:sz w:val="21"/>
          <w:szCs w:val="21"/>
        </w:rPr>
        <w:t xml:space="preserve">[____________, 2026]</w:t>
      </w:r>
    </w:p>
    <w:p>
      <w:pPr>
        <w:pBdr>
          <w:bottom w:val="single" w:color="0B6E4F" w:sz="6" w:space="1"/>
        </w:pBdr>
        <w:spacing w:after="160"/>
      </w:pPr>
      <w:r>
        <w:t xml:space="preserve"/>
      </w:r>
    </w:p>
    <w:p>
      <w:pPr>
        <w:spacing w:after="120"/>
        <w:jc w:val="left"/>
      </w:pPr>
      <w:r>
        <w:rPr>
          <w:rFonts w:ascii="Calibri" w:cs="Calibri" w:eastAsia="Calibri" w:hAnsi="Calibri"/>
          <w:b w:val="false"/>
          <w:bCs w:val="false"/>
          <w:i w:val="false"/>
          <w:iCs w:val="false"/>
          <w:color w:val="222222"/>
          <w:sz w:val="21"/>
          <w:szCs w:val="21"/>
        </w:rPr>
        <w:t xml:space="preserve">Colleagues,</w:t>
      </w:r>
    </w:p>
    <w:p>
      <w:pPr>
        <w:spacing w:after="120"/>
        <w:jc w:val="left"/>
      </w:pPr>
      <w:r>
        <w:rPr>
          <w:rFonts w:ascii="Calibri" w:cs="Calibri" w:eastAsia="Calibri" w:hAnsi="Calibri"/>
          <w:b w:val="false"/>
          <w:bCs w:val="false"/>
          <w:i w:val="false"/>
          <w:iCs w:val="false"/>
          <w:color w:val="222222"/>
          <w:sz w:val="21"/>
          <w:szCs w:val="21"/>
        </w:rPr>
        <w:t xml:space="preserve">I serve as inside counsel to DetencionDefensa.com, Inc., a Delaware corporation building a federal habeas-corpus preparedness platform for the current immigration-enforcement environment. The company is conducting a SAFE financing round under Rule 506(b) and is looking for a small number of qualified professionals to organize limited-partnership vehicles through which groups of accredited investors can participate.</w:t>
      </w:r>
    </w:p>
    <w:p>
      <w:pPr>
        <w:spacing w:after="120"/>
        <w:jc w:val="left"/>
      </w:pPr>
      <w:r>
        <w:rPr>
          <w:rFonts w:ascii="Calibri" w:cs="Calibri" w:eastAsia="Calibri" w:hAnsi="Calibri"/>
          <w:b w:val="false"/>
          <w:bCs w:val="false"/>
          <w:i w:val="false"/>
          <w:iCs w:val="false"/>
          <w:color w:val="222222"/>
          <w:sz w:val="21"/>
          <w:szCs w:val="21"/>
        </w:rPr>
        <w:t xml:space="preserve">This is written for younger practitioners building a book of business. It describes two distinct, lawful ways you can be compensated. They are separate, and the distinction matters:</w:t>
      </w:r>
    </w:p>
    <w:p>
      <w:pPr>
        <w:spacing w:after="70" w:before="170"/>
      </w:pPr>
      <w:r>
        <w:rPr>
          <w:rFonts w:ascii="Calibri" w:cs="Calibri" w:eastAsia="Calibri" w:hAnsi="Calibri"/>
          <w:b/>
          <w:bCs/>
          <w:color w:val="0B6E4F"/>
          <w:sz w:val="21"/>
          <w:szCs w:val="21"/>
        </w:rPr>
        <w:t xml:space="preserve">Track one — cash legal fees from the partnership you organize</w:t>
      </w:r>
    </w:p>
    <w:p>
      <w:pPr>
        <w:spacing w:after="120"/>
        <w:jc w:val="left"/>
      </w:pPr>
      <w:r>
        <w:rPr>
          <w:rFonts w:ascii="Calibri" w:cs="Calibri" w:eastAsia="Calibri" w:hAnsi="Calibri"/>
          <w:b w:val="false"/>
          <w:bCs w:val="false"/>
          <w:i w:val="false"/>
          <w:iCs w:val="false"/>
          <w:color w:val="222222"/>
          <w:sz w:val="21"/>
          <w:szCs w:val="21"/>
        </w:rPr>
        <w:t xml:space="preserve">If you form a limited partnership that invests in this round, that partnership is your client. You may bill the partnership for the legal work you actually perform for it: forming the entity, drafting the limited-partnership agreement, preparing subscription documents, conducting accredited-investor verification, and providing ongoing administration. Those are real services to a real client, billed at your normal rates and paid in cash by the partnership. This is ordinary legal practice.</w:t>
      </w:r>
    </w:p>
    <w:p>
      <w:pPr>
        <w:spacing w:after="120"/>
        <w:jc w:val="left"/>
      </w:pPr>
      <w:r>
        <w:rPr>
          <w:rFonts w:ascii="Calibri" w:cs="Calibri" w:eastAsia="Calibri" w:hAnsi="Calibri"/>
          <w:b w:val="false"/>
          <w:bCs w:val="false"/>
          <w:i w:val="false"/>
          <w:iCs w:val="false"/>
          <w:color w:val="222222"/>
          <w:sz w:val="21"/>
          <w:szCs w:val="21"/>
        </w:rPr>
        <w:t xml:space="preserve">(CPAs may bill the partnership for accounting services — entity tax structuring, K-1 preparation, financial verification. Certified financial planners may bill their own investor-clients for suitability and planning advice. The same principle applies: payment is for substantive professional services, never for the amount of money raised.)</w:t>
      </w:r>
    </w:p>
    <w:p>
      <w:pPr>
        <w:spacing w:after="70" w:before="170"/>
      </w:pPr>
      <w:r>
        <w:rPr>
          <w:rFonts w:ascii="Calibri" w:cs="Calibri" w:eastAsia="Calibri" w:hAnsi="Calibri"/>
          <w:b/>
          <w:bCs/>
          <w:color w:val="0B6E4F"/>
          <w:sz w:val="21"/>
          <w:szCs w:val="21"/>
        </w:rPr>
        <w:t xml:space="preserve">Track two — equity from the company for legal services to the company</w:t>
      </w:r>
    </w:p>
    <w:p>
      <w:pPr>
        <w:spacing w:after="120"/>
        <w:jc w:val="left"/>
      </w:pPr>
      <w:r>
        <w:rPr>
          <w:rFonts w:ascii="Calibri" w:cs="Calibri" w:eastAsia="Calibri" w:hAnsi="Calibri"/>
          <w:b w:val="false"/>
          <w:bCs w:val="false"/>
          <w:i w:val="false"/>
          <w:iCs w:val="false"/>
          <w:color w:val="222222"/>
          <w:sz w:val="21"/>
          <w:szCs w:val="21"/>
        </w:rPr>
        <w:t xml:space="preserve">Separately, the company will grant you restricted common stock as compensation for the legal services you render to the company in helping structure and document the partnership program. The grant is for the work, sized to its scope — not a commission, and never tied to the dollar amount any partnership raises.</w:t>
      </w:r>
    </w:p>
    <w:p>
      <w:pPr>
        <w:spacing w:after="120"/>
      </w:pPr>
      <w:r>
        <w:rPr>
          <w:rFonts w:ascii="Calibri" w:cs="Calibri" w:eastAsia="Calibri" w:hAnsi="Calibri"/>
          <w:b w:val="false"/>
          <w:bCs w:val="false"/>
          <w:i w:val="false"/>
          <w:iCs w:val="false"/>
          <w:color w:val="222222"/>
          <w:sz w:val="21"/>
          <w:szCs w:val="21"/>
        </w:rPr>
        <w:t xml:space="preserve">The standard grant is </w:t>
      </w:r>
      <w:r>
        <w:rPr>
          <w:rFonts w:ascii="Calibri" w:cs="Calibri" w:eastAsia="Calibri" w:hAnsi="Calibri"/>
          <w:b/>
          <w:bCs/>
          <w:i w:val="false"/>
          <w:iCs w:val="false"/>
          <w:color w:val="222222"/>
          <w:sz w:val="21"/>
          <w:szCs w:val="21"/>
        </w:rPr>
        <w:t xml:space="preserve">75,000 shares of restricted common stock per limited partnership you organize, up to five partnerships</w:t>
      </w:r>
      <w:r>
        <w:rPr>
          <w:rFonts w:ascii="Calibri" w:cs="Calibri" w:eastAsia="Calibri" w:hAnsi="Calibri"/>
          <w:b w:val="false"/>
          <w:bCs w:val="false"/>
          <w:i w:val="false"/>
          <w:iCs w:val="false"/>
          <w:color w:val="222222"/>
          <w:sz w:val="21"/>
          <w:szCs w:val="21"/>
        </w:rPr>
        <w:t xml:space="preserve">. The purchase price is par value ($0.0001 per share — about $7.50 for a full 75,000-share grant). You file a simple tax election (an 83(b) election) within 30 days, and your tax exposure at grant is a few dollars.</w:t>
      </w:r>
    </w:p>
    <w:p>
      <w:pPr>
        <w:spacing w:after="70" w:before="170"/>
      </w:pPr>
      <w:r>
        <w:rPr>
          <w:rFonts w:ascii="Calibri" w:cs="Calibri" w:eastAsia="Calibri" w:hAnsi="Calibri"/>
          <w:b/>
          <w:bCs/>
          <w:color w:val="0B6E4F"/>
          <w:sz w:val="21"/>
          <w:szCs w:val="21"/>
        </w:rPr>
        <w:t xml:space="preserve">The buyback — how the stock turns into cash</w:t>
      </w:r>
    </w:p>
    <w:p>
      <w:pPr>
        <w:spacing w:after="120"/>
      </w:pPr>
      <w:r>
        <w:rPr>
          <w:rFonts w:ascii="Calibri" w:cs="Calibri" w:eastAsia="Calibri" w:hAnsi="Calibri"/>
          <w:b w:val="false"/>
          <w:bCs w:val="false"/>
          <w:i w:val="false"/>
          <w:iCs w:val="false"/>
          <w:color w:val="222222"/>
          <w:sz w:val="21"/>
          <w:szCs w:val="21"/>
        </w:rPr>
        <w:t xml:space="preserve">Upon the company's Series A financing, the company may, at its option, repurchase your shares for cash at </w:t>
      </w:r>
      <w:r>
        <w:rPr>
          <w:rFonts w:ascii="Calibri" w:cs="Calibri" w:eastAsia="Calibri" w:hAnsi="Calibri"/>
          <w:b/>
          <w:bCs/>
          <w:i w:val="false"/>
          <w:iCs w:val="false"/>
          <w:color w:val="222222"/>
          <w:sz w:val="21"/>
          <w:szCs w:val="21"/>
        </w:rPr>
        <w:t xml:space="preserve">$1.00 per share</w:t>
      </w:r>
      <w:r>
        <w:rPr>
          <w:rFonts w:ascii="Calibri" w:cs="Calibri" w:eastAsia="Calibri" w:hAnsi="Calibri"/>
          <w:b w:val="false"/>
          <w:bCs w:val="false"/>
          <w:i w:val="false"/>
          <w:iCs w:val="false"/>
          <w:color w:val="222222"/>
          <w:sz w:val="21"/>
          <w:szCs w:val="21"/>
        </w:rPr>
        <w:t xml:space="preserve"> — the price implied by the SAFE valuation cap. A full 75,000-share grant repurchased at $1.00 is </w:t>
      </w:r>
      <w:r>
        <w:rPr>
          <w:rFonts w:ascii="Calibri" w:cs="Calibri" w:eastAsia="Calibri" w:hAnsi="Calibri"/>
          <w:b/>
          <w:bCs/>
          <w:i w:val="false"/>
          <w:iCs w:val="false"/>
          <w:color w:val="222222"/>
          <w:sz w:val="21"/>
          <w:szCs w:val="21"/>
        </w:rPr>
        <w:t xml:space="preserve">$75,000 in cash</w:t>
      </w:r>
      <w:r>
        <w:rPr>
          <w:rFonts w:ascii="Calibri" w:cs="Calibri" w:eastAsia="Calibri" w:hAnsi="Calibri"/>
          <w:b w:val="false"/>
          <w:bCs w:val="false"/>
          <w:i w:val="false"/>
          <w:iCs w:val="false"/>
          <w:color w:val="222222"/>
          <w:sz w:val="21"/>
          <w:szCs w:val="21"/>
        </w:rPr>
        <w:t xml:space="preserve">, paid from Series A proceeds.</w:t>
      </w:r>
    </w:p>
    <w:p>
      <w:pPr>
        <w:pStyle w:val="ListParagraph"/>
        <w:numPr>
          <w:ilvl w:val="0"/>
          <w:numId w:val="2"/>
        </w:numPr>
        <w:spacing w:after="60"/>
      </w:pPr>
      <w:r>
        <w:rPr>
          <w:rFonts w:ascii="Calibri" w:cs="Calibri" w:eastAsia="Calibri" w:hAnsi="Calibri"/>
          <w:b w:val="false"/>
          <w:bCs w:val="false"/>
          <w:color w:val="222222"/>
          <w:sz w:val="21"/>
          <w:szCs w:val="21"/>
        </w:rPr>
        <w:t xml:space="preserve">If the Series A happens and the company exercises the buyback, you receive cash at $1.00/share.</w:t>
      </w:r>
    </w:p>
    <w:p>
      <w:pPr>
        <w:pStyle w:val="ListParagraph"/>
        <w:numPr>
          <w:ilvl w:val="0"/>
          <w:numId w:val="2"/>
        </w:numPr>
        <w:spacing w:after="60"/>
      </w:pPr>
      <w:r>
        <w:rPr>
          <w:rFonts w:ascii="Calibri" w:cs="Calibri" w:eastAsia="Calibri" w:hAnsi="Calibri"/>
          <w:b w:val="false"/>
          <w:bCs w:val="false"/>
          <w:color w:val="222222"/>
          <w:sz w:val="21"/>
          <w:szCs w:val="21"/>
        </w:rPr>
        <w:t xml:space="preserve">If the Series A happens and you would rather hold, the company's buyback is an option, not an obligation you can force — but if it chooses not to exercise, you keep stock that the Series A round itself has repriced upward.</w:t>
      </w:r>
    </w:p>
    <w:p>
      <w:pPr>
        <w:pStyle w:val="ListParagraph"/>
        <w:numPr>
          <w:ilvl w:val="0"/>
          <w:numId w:val="2"/>
        </w:numPr>
        <w:spacing w:after="60"/>
      </w:pPr>
      <w:r>
        <w:rPr>
          <w:rFonts w:ascii="Calibri" w:cs="Calibri" w:eastAsia="Calibri" w:hAnsi="Calibri"/>
          <w:b w:val="false"/>
          <w:bCs w:val="false"/>
          <w:i w:val="false"/>
          <w:iCs w:val="false"/>
          <w:color w:val="222222"/>
          <w:sz w:val="21"/>
          <w:szCs w:val="21"/>
        </w:rPr>
        <w:t xml:space="preserve">If the company never reaches its funding milestones, </w:t>
      </w:r>
      <w:r>
        <w:rPr>
          <w:rFonts w:ascii="Calibri" w:cs="Calibri" w:eastAsia="Calibri" w:hAnsi="Calibri"/>
          <w:b/>
          <w:bCs/>
          <w:i w:val="false"/>
          <w:iCs w:val="false"/>
          <w:color w:val="222222"/>
          <w:sz w:val="21"/>
          <w:szCs w:val="21"/>
        </w:rPr>
        <w:t xml:space="preserve">there is no buyback and no cash</w:t>
      </w:r>
      <w:r>
        <w:rPr>
          <w:rFonts w:ascii="Calibri" w:cs="Calibri" w:eastAsia="Calibri" w:hAnsi="Calibri"/>
          <w:b w:val="false"/>
          <w:bCs w:val="false"/>
          <w:i w:val="false"/>
          <w:iCs w:val="false"/>
          <w:color w:val="222222"/>
          <w:sz w:val="21"/>
          <w:szCs w:val="21"/>
        </w:rPr>
        <w:t xml:space="preserve">. You keep the stock as your compensation for the work. You are not owed money the company does not have.</w:t>
      </w:r>
    </w:p>
    <w:p>
      <w:pPr>
        <w:spacing w:after="120"/>
        <w:jc w:val="left"/>
      </w:pPr>
      <w:r>
        <w:rPr>
          <w:rFonts w:ascii="Calibri" w:cs="Calibri" w:eastAsia="Calibri" w:hAnsi="Calibri"/>
          <w:b w:val="false"/>
          <w:bCs w:val="false"/>
          <w:i/>
          <w:iCs/>
          <w:color w:val="222222"/>
          <w:sz w:val="21"/>
          <w:szCs w:val="21"/>
        </w:rPr>
        <w:t xml:space="preserve">I want that last point to be unmistakable, because it is the honest core of this offer: the equity kicker is upside, not a promise of payment. The cash you can count on is what your partnership-client pays you for your legal work. The stock is the lottery ticket on top — cheap to obtain, potentially meaningful, and explicitly not guaranteed.</w:t>
      </w:r>
    </w:p>
    <w:p>
      <w:pPr>
        <w:spacing w:after="70" w:before="170"/>
      </w:pPr>
      <w:r>
        <w:rPr>
          <w:rFonts w:ascii="Calibri" w:cs="Calibri" w:eastAsia="Calibri" w:hAnsi="Calibri"/>
          <w:b/>
          <w:bCs/>
          <w:color w:val="0B6E4F"/>
          <w:sz w:val="21"/>
          <w:szCs w:val="21"/>
        </w:rPr>
        <w:t xml:space="preserve">Why this can be worth your time</w:t>
      </w:r>
    </w:p>
    <w:p>
      <w:pPr>
        <w:pStyle w:val="ListParagraph"/>
        <w:numPr>
          <w:ilvl w:val="0"/>
          <w:numId w:val="2"/>
        </w:numPr>
        <w:spacing w:after="60"/>
      </w:pPr>
      <w:r>
        <w:rPr>
          <w:rFonts w:ascii="Calibri" w:cs="Calibri" w:eastAsia="Calibri" w:hAnsi="Calibri"/>
          <w:b w:val="false"/>
          <w:bCs w:val="false"/>
          <w:color w:val="222222"/>
          <w:sz w:val="21"/>
          <w:szCs w:val="21"/>
        </w:rPr>
        <w:t xml:space="preserve">The partnership pays you cash now for real legal work — billable hours you can actually collect.</w:t>
      </w:r>
    </w:p>
    <w:p>
      <w:pPr>
        <w:pStyle w:val="ListParagraph"/>
        <w:numPr>
          <w:ilvl w:val="0"/>
          <w:numId w:val="2"/>
        </w:numPr>
        <w:spacing w:after="60"/>
      </w:pPr>
      <w:r>
        <w:rPr>
          <w:rFonts w:ascii="Calibri" w:cs="Calibri" w:eastAsia="Calibri" w:hAnsi="Calibri"/>
          <w:b w:val="false"/>
          <w:bCs w:val="false"/>
          <w:color w:val="222222"/>
          <w:sz w:val="21"/>
          <w:szCs w:val="21"/>
        </w:rPr>
        <w:t xml:space="preserve">You receive a genuine equity position in a venture with a defined Series A path, for a few dollars out of pocket.</w:t>
      </w:r>
    </w:p>
    <w:p>
      <w:pPr>
        <w:pStyle w:val="ListParagraph"/>
        <w:numPr>
          <w:ilvl w:val="0"/>
          <w:numId w:val="2"/>
        </w:numPr>
        <w:spacing w:after="60"/>
      </w:pPr>
      <w:r>
        <w:rPr>
          <w:rFonts w:ascii="Calibri" w:cs="Calibri" w:eastAsia="Calibri" w:hAnsi="Calibri"/>
          <w:b w:val="false"/>
          <w:bCs w:val="false"/>
          <w:color w:val="222222"/>
          <w:sz w:val="21"/>
          <w:szCs w:val="21"/>
        </w:rPr>
        <w:t xml:space="preserve">The accredited investors you meet organizing these partnerships can become long-term clients of your own practice.</w:t>
      </w:r>
    </w:p>
    <w:p>
      <w:pPr>
        <w:spacing w:after="60"/>
        <w:jc w:val="left"/>
      </w:pPr>
      <w:r>
        <w:rPr>
          <w:rFonts w:ascii="Calibri" w:cs="Calibri" w:eastAsia="Calibri" w:hAnsi="Calibri"/>
          <w:b w:val="false"/>
          <w:bCs w:val="false"/>
          <w:i w:val="false"/>
          <w:iCs w:val="false"/>
          <w:color w:val="222222"/>
          <w:sz w:val="21"/>
          <w:szCs w:val="21"/>
        </w:rPr>
        <w:t xml:space="preserve">If this interests you, the next step is a conversation with me and a review of the engagement documents in this package by you and, if you wish, your own counsel. Everything here is also being reviewed by the company's securities counsel; I encourage you to do your own diligence.</w:t>
      </w:r>
    </w:p>
    <w:p>
      <w:pPr>
        <w:spacing w:after="120"/>
        <w:jc w:val="left"/>
      </w:pPr>
      <w:r>
        <w:rPr>
          <w:rFonts w:ascii="Calibri" w:cs="Calibri" w:eastAsia="Calibri" w:hAnsi="Calibri"/>
          <w:b w:val="false"/>
          <w:bCs w:val="false"/>
          <w:i/>
          <w:iCs/>
          <w:color w:val="6B6457"/>
          <w:sz w:val="18"/>
          <w:szCs w:val="18"/>
        </w:rPr>
        <w:t xml:space="preserve">This memo is an invitation to discuss a professional engagement. It is not an offer to sell securities, and it is not investment, legal, or tax advice to you.</w:t>
      </w:r>
    </w:p>
    <w:p>
      <w:pPr>
        <w:spacing w:after="120"/>
      </w:pPr>
      <w:r>
        <w:t xml:space="preserve"/>
      </w:r>
    </w:p>
    <w:p>
      <w:pPr>
        <w:spacing w:after="120"/>
        <w:jc w:val="left"/>
      </w:pPr>
      <w:r>
        <w:rPr>
          <w:rFonts w:ascii="Calibri" w:cs="Calibri" w:eastAsia="Calibri" w:hAnsi="Calibri"/>
          <w:b w:val="false"/>
          <w:bCs w:val="false"/>
          <w:i w:val="false"/>
          <w:iCs w:val="false"/>
          <w:color w:val="222222"/>
          <w:sz w:val="21"/>
          <w:szCs w:val="21"/>
        </w:rPr>
        <w:t xml:space="preserve">With regards,</w:t>
      </w:r>
    </w:p>
    <w:p>
      <w:pPr>
        <w:spacing w:after="20"/>
        <w:jc w:val="left"/>
      </w:pPr>
      <w:r>
        <w:rPr>
          <w:rFonts w:ascii="Calibri" w:cs="Calibri" w:eastAsia="Calibri" w:hAnsi="Calibri"/>
          <w:b/>
          <w:bCs/>
          <w:i w:val="false"/>
          <w:iCs w:val="false"/>
          <w:color w:val="222222"/>
          <w:sz w:val="21"/>
          <w:szCs w:val="21"/>
        </w:rPr>
        <w:t xml:space="preserve">Rosario Kyle Sorrentino, Esq.</w:t>
      </w:r>
    </w:p>
    <w:p>
      <w:pPr>
        <w:spacing w:after="120"/>
        <w:jc w:val="left"/>
      </w:pPr>
      <w:r>
        <w:rPr>
          <w:rFonts w:ascii="Calibri" w:cs="Calibri" w:eastAsia="Calibri" w:hAnsi="Calibri"/>
          <w:b w:val="false"/>
          <w:bCs w:val="false"/>
          <w:i w:val="false"/>
          <w:iCs w:val="false"/>
          <w:color w:val="6B6457"/>
          <w:sz w:val="18"/>
          <w:szCs w:val="18"/>
        </w:rPr>
        <w:t xml:space="preserve">Inside Counsel, DetencionDefensa.com, Inc.  ·  FL Bar No. 1049132</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Cover Memo from Inside Counsel</w:t>
    </w:r>
    <w:r>
      <w:rPr>
        <w:rFonts w:ascii="Calibri" w:cs="Calibri" w:eastAsia="Calibri" w:hAnsi="Calibri"/>
        <w:color w:val="6B6457"/>
        <w:sz w:val="14"/>
        <w:szCs w:val="14"/>
      </w:rPr>
      <w:t xml:space="preserve">	Document 1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2026-06-22T12:40:57.714Z</dcterms:created>
  <dcterms:modified xsi:type="dcterms:W3CDTF">2026-06-22T12:40:57.715Z</dcterms:modified>
</cp:coreProperties>
</file>

<file path=docProps/custom.xml><?xml version="1.0" encoding="utf-8"?>
<Properties xmlns="http://schemas.openxmlformats.org/officeDocument/2006/custom-properties" xmlns:vt="http://schemas.openxmlformats.org/officeDocument/2006/docPropsVTypes"/>
</file>