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8 of 12</w:t>
      </w:r>
    </w:p>
    <w:p>
      <w:pPr>
        <w:spacing w:after="80"/>
        <w:jc w:val="center"/>
      </w:pPr>
      <w:r>
        <w:rPr>
          <w:rFonts w:ascii="Calibri" w:cs="Calibri" w:eastAsia="Calibri" w:hAnsi="Calibri"/>
          <w:b/>
          <w:bCs/>
          <w:color w:val="1A1A1A"/>
          <w:sz w:val="40"/>
          <w:szCs w:val="40"/>
        </w:rPr>
        <w:t xml:space="preserve">Conflict Waiver &amp; Disclosure</w:t>
      </w:r>
    </w:p>
    <w:p>
      <w:pPr>
        <w:spacing w:after="500"/>
        <w:jc w:val="center"/>
      </w:pPr>
      <w:r>
        <w:rPr>
          <w:rFonts w:ascii="Calibri" w:cs="Calibri" w:eastAsia="Calibri" w:hAnsi="Calibri"/>
          <w:i/>
          <w:iCs/>
          <w:color w:val="0B6E4F"/>
          <w:sz w:val="20"/>
          <w:szCs w:val="20"/>
        </w:rPr>
        <w:t xml:space="preserve">Disclosure and waiver of multiple-engagement conflict</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Conflict of Interest — Disclosure &amp; Waiver</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jc w:val="left"/>
      </w:pPr>
      <w:r>
        <w:rPr>
          <w:rFonts w:ascii="Calibri" w:cs="Calibri" w:eastAsia="Calibri" w:hAnsi="Calibri"/>
          <w:b w:val="false"/>
          <w:bCs w:val="false"/>
          <w:i w:val="false"/>
          <w:iCs w:val="false"/>
          <w:color w:val="222222"/>
          <w:sz w:val="21"/>
          <w:szCs w:val="21"/>
        </w:rPr>
        <w:t xml:space="preserve">This disclosure concerns the situation in which one professional provides services both to DetencionDefensa.com, Inc. (the “Company”) and to a limited partnership that invests in the Company (the “Partnership”), and/or to investors in the Partnership.</w:t>
      </w:r>
    </w:p>
    <w:p>
      <w:pPr>
        <w:spacing w:after="70" w:before="170"/>
      </w:pPr>
      <w:r>
        <w:rPr>
          <w:rFonts w:ascii="Calibri" w:cs="Calibri" w:eastAsia="Calibri" w:hAnsi="Calibri"/>
          <w:b/>
          <w:bCs/>
          <w:color w:val="0B6E4F"/>
          <w:sz w:val="21"/>
          <w:szCs w:val="21"/>
        </w:rPr>
        <w:t xml:space="preserve">1. The potential conflict</w:t>
      </w:r>
    </w:p>
    <w:p>
      <w:pPr>
        <w:pStyle w:val="ListParagraph"/>
        <w:numPr>
          <w:ilvl w:val="0"/>
          <w:numId w:val="2"/>
        </w:numPr>
        <w:spacing w:after="60"/>
      </w:pPr>
      <w:r>
        <w:rPr>
          <w:rFonts w:ascii="Calibri" w:cs="Calibri" w:eastAsia="Calibri" w:hAnsi="Calibri"/>
          <w:b w:val="false"/>
          <w:bCs w:val="false"/>
          <w:color w:val="222222"/>
          <w:sz w:val="21"/>
          <w:szCs w:val="21"/>
        </w:rPr>
        <w:t xml:space="preserve">The Company wants investment on terms favorable to the Company.</w:t>
      </w:r>
    </w:p>
    <w:p>
      <w:pPr>
        <w:pStyle w:val="ListParagraph"/>
        <w:numPr>
          <w:ilvl w:val="0"/>
          <w:numId w:val="2"/>
        </w:numPr>
        <w:spacing w:after="60"/>
      </w:pPr>
      <w:r>
        <w:rPr>
          <w:rFonts w:ascii="Calibri" w:cs="Calibri" w:eastAsia="Calibri" w:hAnsi="Calibri"/>
          <w:b w:val="false"/>
          <w:bCs w:val="false"/>
          <w:color w:val="222222"/>
          <w:sz w:val="21"/>
          <w:szCs w:val="21"/>
        </w:rPr>
        <w:t xml:space="preserve">The Partnership and its investors want investment terms favorable to them.</w:t>
      </w:r>
    </w:p>
    <w:p>
      <w:pPr>
        <w:pStyle w:val="ListParagraph"/>
        <w:numPr>
          <w:ilvl w:val="0"/>
          <w:numId w:val="2"/>
        </w:numPr>
        <w:spacing w:after="60"/>
      </w:pPr>
      <w:r>
        <w:rPr>
          <w:rFonts w:ascii="Calibri" w:cs="Calibri" w:eastAsia="Calibri" w:hAnsi="Calibri"/>
          <w:b w:val="false"/>
          <w:bCs w:val="false"/>
          <w:color w:val="222222"/>
          <w:sz w:val="21"/>
          <w:szCs w:val="21"/>
        </w:rPr>
        <w:t xml:space="preserve">A professional advising more than one of these parties has a conflict of interest, because what benefits one may disadvantage another.</w:t>
      </w:r>
    </w:p>
    <w:p>
      <w:pPr>
        <w:spacing w:after="70" w:before="170"/>
      </w:pPr>
      <w:r>
        <w:rPr>
          <w:rFonts w:ascii="Calibri" w:cs="Calibri" w:eastAsia="Calibri" w:hAnsi="Calibri"/>
          <w:b/>
          <w:bCs/>
          <w:color w:val="0B6E4F"/>
          <w:sz w:val="21"/>
          <w:szCs w:val="21"/>
        </w:rPr>
        <w:t xml:space="preserve">2. What this means</w:t>
      </w:r>
    </w:p>
    <w:p>
      <w:pPr>
        <w:spacing w:after="120"/>
        <w:jc w:val="left"/>
      </w:pPr>
      <w:r>
        <w:rPr>
          <w:rFonts w:ascii="Calibri" w:cs="Calibri" w:eastAsia="Calibri" w:hAnsi="Calibri"/>
          <w:b w:val="false"/>
          <w:bCs w:val="false"/>
          <w:i w:val="false"/>
          <w:iCs w:val="false"/>
          <w:color w:val="222222"/>
          <w:sz w:val="21"/>
          <w:szCs w:val="21"/>
        </w:rPr>
        <w:t xml:space="preserve">A lawyer ordinarily may represent multiple clients with potentially adverse interests only with each client’s informed written consent, and only if the lawyer reasonably believes the lawyer can provide competent and diligent representation to each. The same prudential principle is applied here to all professionals.</w:t>
      </w:r>
    </w:p>
    <w:p>
      <w:pPr>
        <w:spacing w:after="70" w:before="170"/>
      </w:pPr>
      <w:r>
        <w:rPr>
          <w:rFonts w:ascii="Calibri" w:cs="Calibri" w:eastAsia="Calibri" w:hAnsi="Calibri"/>
          <w:b/>
          <w:bCs/>
          <w:color w:val="0B6E4F"/>
          <w:sz w:val="21"/>
          <w:szCs w:val="21"/>
        </w:rPr>
        <w:t xml:space="preserve">3. Disclosures</w:t>
      </w:r>
    </w:p>
    <w:p>
      <w:pPr>
        <w:pStyle w:val="ListParagraph"/>
        <w:numPr>
          <w:ilvl w:val="0"/>
          <w:numId w:val="2"/>
        </w:numPr>
        <w:spacing w:after="60"/>
      </w:pPr>
      <w:r>
        <w:rPr>
          <w:rFonts w:ascii="Calibri" w:cs="Calibri" w:eastAsia="Calibri" w:hAnsi="Calibri"/>
          <w:b w:val="false"/>
          <w:bCs w:val="false"/>
          <w:color w:val="222222"/>
          <w:sz w:val="21"/>
          <w:szCs w:val="21"/>
        </w:rPr>
        <w:t xml:space="preserve">Professional has (or may have) an equity interest in the Company (Document 6), which may incline Professional toward the Company’s interests.</w:t>
      </w:r>
    </w:p>
    <w:p>
      <w:pPr>
        <w:pStyle w:val="ListParagraph"/>
        <w:numPr>
          <w:ilvl w:val="0"/>
          <w:numId w:val="2"/>
        </w:numPr>
        <w:spacing w:after="60"/>
      </w:pPr>
      <w:r>
        <w:rPr>
          <w:rFonts w:ascii="Calibri" w:cs="Calibri" w:eastAsia="Calibri" w:hAnsi="Calibri"/>
          <w:b w:val="false"/>
          <w:bCs w:val="false"/>
          <w:color w:val="222222"/>
          <w:sz w:val="21"/>
          <w:szCs w:val="21"/>
        </w:rPr>
        <w:t xml:space="preserve">Professional may be paid by the Partnership for services to it (Document 7).</w:t>
      </w:r>
    </w:p>
    <w:p>
      <w:pPr>
        <w:pStyle w:val="ListParagraph"/>
        <w:numPr>
          <w:ilvl w:val="0"/>
          <w:numId w:val="2"/>
        </w:numPr>
        <w:spacing w:after="60"/>
      </w:pPr>
      <w:r>
        <w:rPr>
          <w:rFonts w:ascii="Calibri" w:cs="Calibri" w:eastAsia="Calibri" w:hAnsi="Calibri"/>
          <w:b w:val="false"/>
          <w:bCs w:val="false"/>
          <w:color w:val="222222"/>
          <w:sz w:val="21"/>
          <w:szCs w:val="21"/>
        </w:rPr>
        <w:t xml:space="preserve">Each party should consider obtaining independent counsel before consenting.</w:t>
      </w:r>
    </w:p>
    <w:p>
      <w:pPr>
        <w:spacing w:after="70" w:before="170"/>
      </w:pPr>
      <w:r>
        <w:rPr>
          <w:rFonts w:ascii="Calibri" w:cs="Calibri" w:eastAsia="Calibri" w:hAnsi="Calibri"/>
          <w:b/>
          <w:bCs/>
          <w:color w:val="0B6E4F"/>
          <w:sz w:val="21"/>
          <w:szCs w:val="21"/>
        </w:rPr>
        <w:t xml:space="preserve">4. Consent and waiver</w:t>
      </w:r>
    </w:p>
    <w:p>
      <w:pPr>
        <w:spacing w:after="120"/>
        <w:jc w:val="left"/>
      </w:pPr>
      <w:r>
        <w:rPr>
          <w:rFonts w:ascii="Calibri" w:cs="Calibri" w:eastAsia="Calibri" w:hAnsi="Calibri"/>
          <w:b w:val="false"/>
          <w:bCs w:val="false"/>
          <w:i w:val="false"/>
          <w:iCs w:val="false"/>
          <w:color w:val="222222"/>
          <w:sz w:val="21"/>
          <w:szCs w:val="21"/>
        </w:rPr>
        <w:t xml:space="preserve">By signing below, each party acknowledges the disclosures above, confirms the opportunity to consult independent counsel, and consents to the multiple engagement, reserving the right to withdraw consent prospectively on written notice. No party waives any right that cannot be waived under applicable rules of professional conduct or law.</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DetencionDefensa.com, Inc.</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Limited Partnership (by its General Partner)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Professional</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Conflict Waiver &amp; Disclosure</w:t>
    </w:r>
    <w:r>
      <w:rPr>
        <w:rFonts w:ascii="Calibri" w:cs="Calibri" w:eastAsia="Calibri" w:hAnsi="Calibri"/>
        <w:color w:val="6B6457"/>
        <w:sz w:val="14"/>
        <w:szCs w:val="14"/>
      </w:rPr>
      <w:t xml:space="preserve">	Document 8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2026-06-22T12:40:58.075Z</dcterms:created>
  <dcterms:modified xsi:type="dcterms:W3CDTF">2026-06-22T12:40:58.075Z</dcterms:modified>
</cp:coreProperties>
</file>

<file path=docProps/custom.xml><?xml version="1.0" encoding="utf-8"?>
<Properties xmlns="http://schemas.openxmlformats.org/officeDocument/2006/custom-properties" xmlns:vt="http://schemas.openxmlformats.org/officeDocument/2006/docPropsVTypes"/>
</file>