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  <w:jc w:val="center"/>
      </w:pPr>
      <w:r>
        <w:rPr>
          <w:rFonts w:ascii="Calibri" w:cs="Calibri" w:eastAsia="Calibri" w:hAnsi="Calibri"/>
          <w:b/>
          <w:bCs/>
          <w:color w:val="1A1A1A"/>
          <w:spacing w:val="40"/>
          <w:sz w:val="24"/>
          <w:szCs w:val="24"/>
        </w:rPr>
        <w:t xml:space="preserve">DETENCIONDEFENSA.COM, INC.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6B6457"/>
          <w:sz w:val="18"/>
          <w:szCs w:val="18"/>
        </w:rPr>
        <w:t xml:space="preserve">A Delaware Corporation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0B6E4F"/>
          <w:sz w:val="18"/>
          <w:szCs w:val="18"/>
        </w:rPr>
        <w:t xml:space="preserve">SAFE Round · 2026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6B6457"/>
          <w:spacing w:val="30"/>
          <w:sz w:val="14"/>
          <w:szCs w:val="14"/>
        </w:rPr>
        <w:t xml:space="preserve">Document 6 of 12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Outside Professional Engagement — Company</w:t>
      </w:r>
    </w:p>
    <w:p>
      <w:pPr>
        <w:spacing w:after="500"/>
        <w:jc w:val="center"/>
      </w:pPr>
      <w:r>
        <w:rPr>
          <w:rFonts w:ascii="Calibri" w:cs="Calibri" w:eastAsia="Calibri" w:hAnsi="Calibri"/>
          <w:i/>
          <w:iCs/>
          <w:color w:val="0B6E4F"/>
          <w:sz w:val="20"/>
          <w:szCs w:val="20"/>
        </w:rPr>
        <w:t xml:space="preserve">Equity for legal/professional services rendered to the Company</w:t>
      </w:r>
    </w:p>
    <w:p>
      <w:pPr>
        <w:spacing w:after="300"/>
      </w:pPr>
      <w:r>
        <w:t xml:space="preserve"/>
      </w:r>
    </w:p>
    <w:p>
      <w:pPr>
        <w:pBdr>
          <w:top w:val="single" w:color="0B6E4F" w:sz="6"/>
          <w:left w:val="single" w:color="0B6E4F" w:sz="6"/>
          <w:bottom w:val="single" w:color="0B6E4F" w:sz="6"/>
          <w:right w:val="single" w:color="0B6E4F" w:sz="6"/>
        </w:pBdr>
        <w:shd w:fill="F2F8F4" w:val="clear"/>
        <w:spacing w:after="120" w:before="120"/>
        <w:ind w:left="400" w:right="40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CONFIDENTIAL · DRAFT FOR COUNSEL REVIEW.  Template prepared as a starting point for review with qualified securities counsel before any use. Bracketed [ ] fields require completion. Not legal advice.</w:t>
      </w:r>
    </w:p>
    <w:p>
      <w:pPr>
        <w:spacing w:after="40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6B6457"/>
          <w:sz w:val="16"/>
          <w:szCs w:val="16"/>
        </w:rPr>
        <w:t xml:space="preserve">390 NE 191st Street, Suite 58999, Miami, FL 33179  ·  info@detenciondefensa.com  ·  http://detenciondefensa.com</w:t>
      </w:r>
    </w:p>
    <w:p>
      <w:r>
        <w:br w:type="page"/>
      </w:r>
    </w:p>
    <w:p>
      <w:pPr>
        <w:pStyle w:val="Heading1"/>
        <w:spacing w:after="150" w:before="340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Outside Professional Engagement — Services to the Company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457"/>
          <w:sz w:val="19"/>
          <w:szCs w:val="19"/>
        </w:rPr>
        <w:t xml:space="preserve">Equity compensation for legal/professional services rendered to the Company</w:t>
      </w:r>
    </w:p>
    <w:p>
      <w:pPr>
        <w:pBdr>
          <w:top w:val="single" w:color="0B6E4F" w:sz="4"/>
          <w:left w:val="single" w:color="0B6E4F" w:sz="4"/>
          <w:bottom w:val="single" w:color="0B6E4F" w:sz="4"/>
          <w:right w:val="single" w:color="0B6E4F" w:sz="4"/>
        </w:pBdr>
        <w:shd w:fill="F2F8F4" w:val="clear"/>
        <w:spacing w:after="170" w:before="8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DRAFT FOR SECURITIES-COUNSEL REVIEW — NOT FOR EXECUTION. A starting template for review with qualified counsel before any use. Bracketed [ ] fields require completion. Not legal advice.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This Engagement (this “Agreement”) is between DetencionDefensa.com, Inc. (the “Company”) and the professional named below (“Professional”).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 / license (Atty / CPA / CFP):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License number &amp; state: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1. Scope of services to the Company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Professional will render the following services to the Company in connection with structuring and documenting the Company’s limited-partnership organizer program: advising on the form of limited-partnership vehicle; preparing or reviewing template partnership and subscription documents; coordinating accredited-investor verification standards; and related structuring work. These are services to the Company, distinct from any services Professional may separately provide to a limited partnership under a separate engagement (Document 7).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2. Equity compensation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As compensation for the services in Section 1, the Company will grant Professional 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75,000 shares of restricted common stock per limited partnership Professional organizes that subscribes to the Company’s SAFE round, up to a maximum of five (5) partnerships (375,000 shares)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, at a purchase price of $0.0001 per share (par value). The grant is for services rendered and is not contingent on, or measured by, the amount of capital any partnership raises.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3. Vesting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Each grant vests upon Professional’s completion of the Section 1 services for the corresponding partnership, as reasonably determined by the Company. Until vested, shares are subject to repurchase by the Company at the purchase price.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4. Company repurchase option (the “buyback”)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Upon the closing of the Company’s Series A financing (a qualified equity financing as defined in the Company’s SAFE), the Company 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may, at its sole option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, repurchase any or all of Professional’s vested shares for cash at 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$1.00 per share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 — the per-share price implied by the Company’s $10,000,000 post-money SAFE valuation cap — payable from Series A proceeds. The buyback price is fixed at SAFE-cap economics and does not vary with the Series A per-share price.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The buyback is the Company’s option, not Professional’s right; Professional cannot compel a repurchase.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If no qualified equity financing occurs, 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no buyback is owed and no cash is payable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; Professional retains the shares as full compensation for the Section 1 services.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Professional understands the shares may ultimately have no value, and that the equity is upside, not guaranteed payment.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5. Section 83(b)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Professional will file an 83(b) election within 30 days of each grant (Document 5) and is advised to consult a tax advisor.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6. Not broker-dealer compensation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The parties intend that compensation under this Agreement is solely for professional services rendered to the Company and is not transaction-based compensation for the offer or sale of securities. Professional represents that Professional is not registered as, and is not acting as, a broker-dealer, and will not solicit investors on the Company’s behalf for transaction-based compensation. The Company’s securities are offered by the Company’s officers.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7. Independent contractor; no authority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Professional is an independent contractor, not an employee or agent, and has no authority to bind the Company.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8. Securities representations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Professional acquires the shares for investment, not with a view to distribution, and qualifies as an accredited investor or is otherwise capable of evaluating the risks.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9. General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Governed by Delaware law; entire agreement on its subject; counterparts permitted.</w:t>
      </w:r>
    </w:p>
    <w:p>
      <w:pPr>
        <w:spacing w:after="160"/>
      </w:pPr>
      <w:r>
        <w:t xml:space="preserve"/>
      </w:r>
    </w:p>
    <w:p>
      <w:r>
        <w:rPr>
          <w:rFonts w:ascii="Calibri" w:cs="Calibri" w:eastAsia="Calibri" w:hAnsi="Calibri"/>
          <w:color w:val="555555"/>
          <w:sz w:val="21"/>
          <w:szCs w:val="21"/>
        </w:rPr>
        <w:t xml:space="preserve">__________________________________________</w:t>
      </w:r>
    </w:p>
    <w:p>
      <w:pPr>
        <w:spacing w:after="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7"/>
          <w:sz w:val="18"/>
          <w:szCs w:val="18"/>
        </w:rPr>
        <w:t xml:space="preserve">DetencionDefensa.com, Inc.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Title: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60"/>
      </w:pPr>
      <w:r>
        <w:t xml:space="preserve"/>
      </w:r>
    </w:p>
    <w:p>
      <w:r>
        <w:rPr>
          <w:rFonts w:ascii="Calibri" w:cs="Calibri" w:eastAsia="Calibri" w:hAnsi="Calibri"/>
          <w:color w:val="555555"/>
          <w:sz w:val="21"/>
          <w:szCs w:val="21"/>
        </w:rPr>
        <w:t xml:space="preserve">__________________________________________</w:t>
      </w:r>
    </w:p>
    <w:p>
      <w:pPr>
        <w:spacing w:after="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7"/>
          <w:sz w:val="18"/>
          <w:szCs w:val="18"/>
        </w:rPr>
        <w:t xml:space="preserve">Professional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Title: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B9" w:sz="4" w:space="6"/>
      </w:pBdr>
      <w:tabs>
        <w:tab w:val="right" w:pos="9026"/>
      </w:tabs>
    </w:pPr>
    <w:r>
      <w:rPr>
        <w:rFonts w:ascii="Calibri" w:cs="Calibri" w:eastAsia="Calibri" w:hAnsi="Calibri"/>
        <w:i/>
        <w:iCs/>
        <w:color w:val="B3261E"/>
        <w:sz w:val="14"/>
        <w:szCs w:val="14"/>
      </w:rPr>
      <w:t xml:space="preserve">Privileged &amp; Confidential · Draft for counsel review</w:t>
    </w:r>
    <w:r>
      <w:rPr>
        <w:rFonts w:ascii="Calibri" w:cs="Calibri" w:eastAsia="Calibri" w:hAnsi="Calibri"/>
        <w:color w:val="6B6457"/>
        <w:sz w:val="14"/>
        <w:szCs w:val="14"/>
      </w:rPr>
      <w:t xml:space="preserve">	Page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457"/>
        <w:sz w:val="14"/>
        <w:szCs w:val="14"/>
      </w:rPr>
      <w:t xml:space="preserve"> of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Calibri" w:cs="Calibri" w:eastAsia="Calibri" w:hAnsi="Calibri"/>
        <w:color w:val="6B6457"/>
        <w:sz w:val="14"/>
        <w:szCs w:val="14"/>
      </w:rPr>
      <w:t xml:space="preserve">DetencionDefensa.com, Inc. · Outside Professional Engagement — Company</w:t>
    </w:r>
    <w:r>
      <w:rPr>
        <w:rFonts w:ascii="Calibri" w:cs="Calibri" w:eastAsia="Calibri" w:hAnsi="Calibri"/>
        <w:color w:val="6B6457"/>
        <w:sz w:val="14"/>
        <w:szCs w:val="14"/>
      </w:rPr>
      <w:t xml:space="preserve">	Document 6 of 12 · SAFE Round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2026-06-22T12:40:58.031Z</dcterms:created>
  <dcterms:modified xsi:type="dcterms:W3CDTF">2026-06-22T12:40:58.031Z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